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E3" w:rsidRDefault="006423E3"/>
    <w:tbl>
      <w:tblPr>
        <w:tblStyle w:val="TableGrid"/>
        <w:tblpPr w:leftFromText="180" w:rightFromText="180" w:horzAnchor="margin" w:tblpXSpec="center" w:tblpY="775"/>
        <w:tblW w:w="8131" w:type="dxa"/>
        <w:tblLook w:val="04A0"/>
      </w:tblPr>
      <w:tblGrid>
        <w:gridCol w:w="9183"/>
      </w:tblGrid>
      <w:tr w:rsidR="00CA7CBE" w:rsidRPr="000E18E5" w:rsidTr="006423E3">
        <w:tc>
          <w:tcPr>
            <w:tcW w:w="8131" w:type="dxa"/>
          </w:tcPr>
          <w:p w:rsidR="006423E3" w:rsidRDefault="006423E3" w:rsidP="00AB7697">
            <w:pPr>
              <w:tabs>
                <w:tab w:val="left" w:pos="1205"/>
              </w:tabs>
              <w:jc w:val="center"/>
              <w:rPr>
                <w:rFonts w:ascii="Book Antiqua" w:hAnsi="Book Antiqua"/>
                <w:b/>
                <w:color w:val="auto"/>
                <w:sz w:val="36"/>
                <w:szCs w:val="36"/>
              </w:rPr>
            </w:pPr>
          </w:p>
          <w:p w:rsidR="00CA7CBE" w:rsidRPr="006423E3" w:rsidRDefault="006423E3" w:rsidP="00AB7697">
            <w:pPr>
              <w:tabs>
                <w:tab w:val="left" w:pos="1205"/>
              </w:tabs>
              <w:jc w:val="center"/>
              <w:rPr>
                <w:rFonts w:ascii="Book Antiqua" w:hAnsi="Book Antiqua"/>
                <w:b/>
                <w:color w:val="auto"/>
                <w:sz w:val="40"/>
                <w:szCs w:val="36"/>
              </w:rPr>
            </w:pPr>
            <w:r>
              <w:rPr>
                <w:rFonts w:ascii="Book Antiqua" w:hAnsi="Book Antiqua"/>
                <w:b/>
                <w:color w:val="auto"/>
                <w:sz w:val="40"/>
                <w:szCs w:val="36"/>
              </w:rPr>
              <w:t xml:space="preserve">               </w:t>
            </w:r>
            <w:r w:rsidRPr="006423E3">
              <w:rPr>
                <w:rFonts w:ascii="Book Antiqua" w:hAnsi="Book Antiqua"/>
                <w:b/>
                <w:color w:val="auto"/>
                <w:sz w:val="40"/>
                <w:szCs w:val="36"/>
              </w:rPr>
              <w:t>ORION PHARMA LIMITED</w:t>
            </w:r>
          </w:p>
          <w:p w:rsidR="00CA7CBE" w:rsidRPr="000E18E5" w:rsidRDefault="006423E3" w:rsidP="00033902">
            <w:pPr>
              <w:tabs>
                <w:tab w:val="left" w:pos="1205"/>
              </w:tabs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                          </w:t>
            </w:r>
            <w:r w:rsidR="00CA7CBE" w:rsidRPr="000E18E5">
              <w:rPr>
                <w:rFonts w:ascii="Book Antiqua" w:hAnsi="Book Antiqua"/>
                <w:sz w:val="22"/>
              </w:rPr>
              <w:t>Register Office: Orion House, 153-154 Tejgaon I/A</w:t>
            </w:r>
            <w:r w:rsidR="00033902">
              <w:rPr>
                <w:rFonts w:ascii="Book Antiqua" w:hAnsi="Book Antiqua"/>
                <w:sz w:val="22"/>
              </w:rPr>
              <w:t>,</w:t>
            </w:r>
          </w:p>
          <w:p w:rsidR="00CA7CBE" w:rsidRPr="00033902" w:rsidRDefault="006423E3" w:rsidP="00AB7697">
            <w:pPr>
              <w:tabs>
                <w:tab w:val="left" w:pos="1205"/>
              </w:tabs>
              <w:jc w:val="center"/>
              <w:rPr>
                <w:rFonts w:ascii="Book Antiqua" w:hAnsi="Book Antiqua"/>
                <w:sz w:val="22"/>
                <w:u w:val="single"/>
              </w:rPr>
            </w:pPr>
            <w:r w:rsidRPr="006423E3">
              <w:rPr>
                <w:rFonts w:ascii="Book Antiqua" w:hAnsi="Book Antiqua"/>
                <w:sz w:val="22"/>
              </w:rPr>
              <w:t xml:space="preserve">                      </w:t>
            </w:r>
            <w:r w:rsidR="00033902" w:rsidRPr="00033902">
              <w:rPr>
                <w:rFonts w:ascii="Book Antiqua" w:hAnsi="Book Antiqua"/>
                <w:sz w:val="22"/>
                <w:u w:val="single"/>
              </w:rPr>
              <w:t>Tejgaon, Dhaka-1208</w:t>
            </w:r>
          </w:p>
          <w:p w:rsidR="00CA7CBE" w:rsidRPr="00573053" w:rsidRDefault="00CA7CBE" w:rsidP="00AB7697">
            <w:pPr>
              <w:tabs>
                <w:tab w:val="left" w:pos="1205"/>
              </w:tabs>
              <w:jc w:val="center"/>
              <w:rPr>
                <w:rFonts w:ascii="Book Antiqua" w:hAnsi="Book Antiqua"/>
                <w:b/>
                <w:color w:val="FFFFFF" w:themeColor="background1"/>
                <w:sz w:val="20"/>
              </w:rPr>
            </w:pPr>
          </w:p>
          <w:p w:rsidR="006423E3" w:rsidRDefault="006423E3" w:rsidP="00AB7697">
            <w:pPr>
              <w:tabs>
                <w:tab w:val="left" w:pos="1205"/>
              </w:tabs>
              <w:jc w:val="center"/>
              <w:rPr>
                <w:rFonts w:ascii="Book Antiqua" w:hAnsi="Book Antiqua"/>
                <w:b/>
                <w:color w:val="FFFFFF" w:themeColor="background1"/>
                <w:sz w:val="22"/>
                <w:highlight w:val="darkBlue"/>
              </w:rPr>
            </w:pPr>
          </w:p>
          <w:p w:rsidR="00CA7CBE" w:rsidRPr="00573053" w:rsidRDefault="00573053" w:rsidP="00AB7697">
            <w:pPr>
              <w:tabs>
                <w:tab w:val="left" w:pos="1205"/>
              </w:tabs>
              <w:jc w:val="center"/>
              <w:rPr>
                <w:rFonts w:ascii="Book Antiqua" w:hAnsi="Book Antiqua"/>
                <w:b/>
                <w:color w:val="FFFFFF" w:themeColor="background1"/>
                <w:sz w:val="22"/>
              </w:rPr>
            </w:pPr>
            <w:r w:rsidRPr="00673600">
              <w:rPr>
                <w:rFonts w:ascii="Book Antiqua" w:hAnsi="Book Antiqua"/>
                <w:b/>
                <w:color w:val="FFFFFF" w:themeColor="background1"/>
                <w:sz w:val="22"/>
                <w:highlight w:val="darkBlue"/>
              </w:rPr>
              <w:t>UN-AUDITE</w:t>
            </w:r>
            <w:r w:rsidRPr="0061480A">
              <w:rPr>
                <w:rFonts w:ascii="Book Antiqua" w:hAnsi="Book Antiqua"/>
                <w:b/>
                <w:caps/>
                <w:color w:val="FFFFFF" w:themeColor="background1"/>
                <w:sz w:val="22"/>
                <w:highlight w:val="darkBlue"/>
              </w:rPr>
              <w:t xml:space="preserve">D </w:t>
            </w:r>
            <w:r w:rsidR="0061480A" w:rsidRPr="0061480A">
              <w:rPr>
                <w:rFonts w:ascii="Book Antiqua" w:hAnsi="Book Antiqua"/>
                <w:b/>
                <w:caps/>
                <w:color w:val="FFFFFF" w:themeColor="background1"/>
                <w:sz w:val="22"/>
                <w:highlight w:val="darkBlue"/>
              </w:rPr>
              <w:t>Third Quarterly</w:t>
            </w:r>
            <w:r w:rsidR="00573FA8">
              <w:rPr>
                <w:rFonts w:ascii="Book Antiqua" w:hAnsi="Book Antiqua"/>
                <w:b/>
                <w:color w:val="FFFFFF" w:themeColor="background1"/>
                <w:sz w:val="22"/>
                <w:highlight w:val="darkBlue"/>
              </w:rPr>
              <w:t xml:space="preserve"> (Q</w:t>
            </w:r>
            <w:r w:rsidR="0061480A">
              <w:rPr>
                <w:rFonts w:ascii="Book Antiqua" w:hAnsi="Book Antiqua"/>
                <w:b/>
                <w:color w:val="FFFFFF" w:themeColor="background1"/>
                <w:sz w:val="22"/>
                <w:highlight w:val="darkBlue"/>
              </w:rPr>
              <w:t>3</w:t>
            </w:r>
            <w:r w:rsidR="00573FA8">
              <w:rPr>
                <w:rFonts w:ascii="Book Antiqua" w:hAnsi="Book Antiqua"/>
                <w:b/>
                <w:color w:val="FFFFFF" w:themeColor="background1"/>
                <w:sz w:val="22"/>
                <w:highlight w:val="darkBlue"/>
              </w:rPr>
              <w:t>)</w:t>
            </w:r>
            <w:r w:rsidR="00CA7CBE" w:rsidRPr="00673600">
              <w:rPr>
                <w:rFonts w:ascii="Book Antiqua" w:hAnsi="Book Antiqua"/>
                <w:b/>
                <w:color w:val="FFFFFF" w:themeColor="background1"/>
                <w:sz w:val="22"/>
                <w:highlight w:val="darkBlue"/>
              </w:rPr>
              <w:t xml:space="preserve"> </w:t>
            </w:r>
            <w:r w:rsidR="005D2502" w:rsidRPr="00673600">
              <w:rPr>
                <w:rFonts w:ascii="Book Antiqua" w:hAnsi="Book Antiqua"/>
                <w:b/>
                <w:color w:val="FFFFFF" w:themeColor="background1"/>
                <w:sz w:val="22"/>
                <w:highlight w:val="darkBlue"/>
              </w:rPr>
              <w:t xml:space="preserve"> </w:t>
            </w:r>
            <w:r w:rsidR="00CA7CBE" w:rsidRPr="00673600">
              <w:rPr>
                <w:rFonts w:ascii="Book Antiqua" w:hAnsi="Book Antiqua"/>
                <w:b/>
                <w:color w:val="FFFFFF" w:themeColor="background1"/>
                <w:sz w:val="22"/>
                <w:highlight w:val="darkBlue"/>
              </w:rPr>
              <w:t>FINNANCIAL STATEMENTS</w:t>
            </w:r>
          </w:p>
          <w:p w:rsidR="00CA7CBE" w:rsidRPr="000E18E5" w:rsidRDefault="00CA7CBE" w:rsidP="00AB7697">
            <w:pPr>
              <w:tabs>
                <w:tab w:val="left" w:pos="1205"/>
              </w:tabs>
              <w:jc w:val="center"/>
              <w:rPr>
                <w:rFonts w:ascii="Book Antiqua" w:hAnsi="Book Antiqua"/>
                <w:b/>
                <w:color w:val="FFFFFF" w:themeColor="background1"/>
              </w:rPr>
            </w:pPr>
          </w:p>
          <w:p w:rsidR="00CA7CBE" w:rsidRPr="000E18E5" w:rsidRDefault="00CA7CBE" w:rsidP="00AB7697">
            <w:pPr>
              <w:tabs>
                <w:tab w:val="left" w:pos="1205"/>
              </w:tabs>
              <w:jc w:val="both"/>
              <w:rPr>
                <w:rFonts w:ascii="Book Antiqua" w:hAnsi="Book Antiqua"/>
                <w:sz w:val="22"/>
              </w:rPr>
            </w:pPr>
            <w:r w:rsidRPr="000E18E5">
              <w:rPr>
                <w:rFonts w:ascii="Book Antiqua" w:hAnsi="Book Antiqua"/>
                <w:sz w:val="22"/>
              </w:rPr>
              <w:t xml:space="preserve">This is for the information of all concerned that the un-audited financial statements of </w:t>
            </w:r>
            <w:r w:rsidRPr="000E18E5">
              <w:rPr>
                <w:rFonts w:ascii="Book Antiqua" w:hAnsi="Book Antiqua"/>
                <w:b/>
                <w:sz w:val="22"/>
              </w:rPr>
              <w:t xml:space="preserve">Orion </w:t>
            </w:r>
            <w:r w:rsidR="00636B27">
              <w:rPr>
                <w:rFonts w:ascii="Book Antiqua" w:hAnsi="Book Antiqua"/>
                <w:b/>
                <w:sz w:val="22"/>
              </w:rPr>
              <w:t>Pharma</w:t>
            </w:r>
            <w:r w:rsidRPr="000E18E5">
              <w:rPr>
                <w:rFonts w:ascii="Book Antiqua" w:hAnsi="Book Antiqua"/>
                <w:b/>
                <w:sz w:val="22"/>
              </w:rPr>
              <w:t xml:space="preserve"> Limited</w:t>
            </w:r>
            <w:r w:rsidRPr="000E18E5">
              <w:rPr>
                <w:rFonts w:ascii="Book Antiqua" w:hAnsi="Book Antiqua"/>
                <w:sz w:val="22"/>
              </w:rPr>
              <w:t xml:space="preserve"> as on and for the </w:t>
            </w:r>
            <w:r w:rsidR="009B10EA">
              <w:rPr>
                <w:rFonts w:ascii="Book Antiqua" w:hAnsi="Book Antiqua"/>
                <w:sz w:val="22"/>
              </w:rPr>
              <w:t>3</w:t>
            </w:r>
            <w:r w:rsidR="009B10EA" w:rsidRPr="009B10EA">
              <w:rPr>
                <w:rFonts w:ascii="Book Antiqua" w:hAnsi="Book Antiqua"/>
                <w:sz w:val="22"/>
                <w:vertAlign w:val="superscript"/>
              </w:rPr>
              <w:t>rd</w:t>
            </w:r>
            <w:r w:rsidR="009B10EA">
              <w:rPr>
                <w:rFonts w:ascii="Book Antiqua" w:hAnsi="Book Antiqua"/>
                <w:sz w:val="22"/>
              </w:rPr>
              <w:t xml:space="preserve"> </w:t>
            </w:r>
            <w:r w:rsidR="0061480A">
              <w:rPr>
                <w:rFonts w:ascii="Book Antiqua" w:hAnsi="Book Antiqua"/>
                <w:sz w:val="22"/>
              </w:rPr>
              <w:t>Quarterly</w:t>
            </w:r>
            <w:r w:rsidR="00573FA8">
              <w:rPr>
                <w:rFonts w:ascii="Book Antiqua" w:hAnsi="Book Antiqua"/>
                <w:sz w:val="22"/>
              </w:rPr>
              <w:t xml:space="preserve"> period</w:t>
            </w:r>
            <w:r w:rsidRPr="000E18E5">
              <w:rPr>
                <w:rFonts w:ascii="Book Antiqua" w:hAnsi="Book Antiqua"/>
                <w:sz w:val="22"/>
              </w:rPr>
              <w:t xml:space="preserve"> </w:t>
            </w:r>
            <w:proofErr w:type="gramStart"/>
            <w:r w:rsidRPr="000E18E5">
              <w:rPr>
                <w:rFonts w:ascii="Book Antiqua" w:hAnsi="Book Antiqua"/>
                <w:sz w:val="22"/>
              </w:rPr>
              <w:t xml:space="preserve">ended </w:t>
            </w:r>
            <w:r w:rsidR="00245CC5">
              <w:rPr>
                <w:rFonts w:ascii="Book Antiqua" w:hAnsi="Book Antiqua"/>
                <w:sz w:val="22"/>
              </w:rPr>
              <w:t xml:space="preserve"> </w:t>
            </w:r>
            <w:r w:rsidR="0061480A">
              <w:rPr>
                <w:rFonts w:ascii="Book Antiqua" w:hAnsi="Book Antiqua"/>
                <w:sz w:val="22"/>
              </w:rPr>
              <w:t>March</w:t>
            </w:r>
            <w:proofErr w:type="gramEnd"/>
            <w:r w:rsidR="00573FA8">
              <w:rPr>
                <w:rFonts w:ascii="Book Antiqua" w:hAnsi="Book Antiqua"/>
                <w:sz w:val="22"/>
              </w:rPr>
              <w:t xml:space="preserve"> 31</w:t>
            </w:r>
            <w:r w:rsidRPr="000E18E5">
              <w:rPr>
                <w:rFonts w:ascii="Book Antiqua" w:hAnsi="Book Antiqua"/>
                <w:sz w:val="22"/>
              </w:rPr>
              <w:t>, 201</w:t>
            </w:r>
            <w:r w:rsidR="0061480A">
              <w:rPr>
                <w:rFonts w:ascii="Book Antiqua" w:hAnsi="Book Antiqua"/>
                <w:sz w:val="22"/>
              </w:rPr>
              <w:t>7</w:t>
            </w:r>
            <w:r w:rsidRPr="000E18E5">
              <w:rPr>
                <w:rFonts w:ascii="Book Antiqua" w:hAnsi="Book Antiqua"/>
                <w:sz w:val="22"/>
              </w:rPr>
              <w:t xml:space="preserve"> has been a</w:t>
            </w:r>
            <w:r w:rsidR="00AC2345">
              <w:rPr>
                <w:rFonts w:ascii="Book Antiqua" w:hAnsi="Book Antiqua"/>
                <w:sz w:val="22"/>
              </w:rPr>
              <w:t>dopted</w:t>
            </w:r>
            <w:r w:rsidR="000E18E5" w:rsidRPr="000E18E5">
              <w:rPr>
                <w:rFonts w:ascii="Book Antiqua" w:hAnsi="Book Antiqua"/>
                <w:sz w:val="22"/>
              </w:rPr>
              <w:t xml:space="preserve"> by the Board of Directors in</w:t>
            </w:r>
            <w:r w:rsidRPr="000E18E5">
              <w:rPr>
                <w:rFonts w:ascii="Book Antiqua" w:hAnsi="Book Antiqua"/>
                <w:sz w:val="22"/>
              </w:rPr>
              <w:t xml:space="preserve"> its meeting held on </w:t>
            </w:r>
            <w:r w:rsidR="0061480A">
              <w:rPr>
                <w:rFonts w:ascii="Book Antiqua" w:hAnsi="Book Antiqua"/>
                <w:sz w:val="22"/>
              </w:rPr>
              <w:t>April 30</w:t>
            </w:r>
            <w:r w:rsidR="00573FA8">
              <w:rPr>
                <w:rFonts w:ascii="Book Antiqua" w:hAnsi="Book Antiqua"/>
                <w:sz w:val="22"/>
              </w:rPr>
              <w:t>, 2017</w:t>
            </w:r>
            <w:r w:rsidRPr="000E18E5">
              <w:rPr>
                <w:rFonts w:ascii="Book Antiqua" w:hAnsi="Book Antiqua"/>
                <w:sz w:val="22"/>
              </w:rPr>
              <w:t>. The excerpts of the Financial Statements are as follows.</w:t>
            </w:r>
          </w:p>
          <w:tbl>
            <w:tblPr>
              <w:tblW w:w="8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85"/>
              <w:gridCol w:w="270"/>
              <w:gridCol w:w="1616"/>
              <w:gridCol w:w="1536"/>
              <w:gridCol w:w="1475"/>
              <w:gridCol w:w="1475"/>
            </w:tblGrid>
            <w:tr w:rsidR="0061480A" w:rsidRPr="0061480A" w:rsidTr="0061480A">
              <w:tc>
                <w:tcPr>
                  <w:tcW w:w="2585" w:type="dxa"/>
                  <w:shd w:val="clear" w:color="auto" w:fill="auto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rPr>
                      <w:rFonts w:ascii="Book Antiqua" w:hAnsi="Book Antiqua"/>
                      <w:b/>
                      <w:color w:val="FFFFFF" w:themeColor="background1"/>
                      <w:sz w:val="22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rPr>
                      <w:rFonts w:ascii="Book Antiqua" w:hAnsi="Book Antiqua"/>
                      <w:b/>
                      <w:color w:val="FFFFFF" w:themeColor="background1"/>
                      <w:sz w:val="22"/>
                    </w:rPr>
                  </w:pPr>
                </w:p>
              </w:tc>
              <w:tc>
                <w:tcPr>
                  <w:tcW w:w="3152" w:type="dxa"/>
                  <w:gridSpan w:val="2"/>
                  <w:shd w:val="clear" w:color="auto" w:fill="auto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color w:val="auto"/>
                      <w:sz w:val="22"/>
                    </w:rPr>
                  </w:pPr>
                  <w:r w:rsidRPr="0061480A">
                    <w:rPr>
                      <w:rFonts w:ascii="Book Antiqua" w:hAnsi="Book Antiqua"/>
                      <w:b/>
                      <w:color w:val="auto"/>
                      <w:sz w:val="22"/>
                    </w:rPr>
                    <w:t>March 31, 2017</w:t>
                  </w:r>
                </w:p>
              </w:tc>
              <w:tc>
                <w:tcPr>
                  <w:tcW w:w="2950" w:type="dxa"/>
                  <w:gridSpan w:val="2"/>
                  <w:shd w:val="clear" w:color="auto" w:fill="auto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color w:val="auto"/>
                      <w:sz w:val="22"/>
                    </w:rPr>
                  </w:pPr>
                  <w:r w:rsidRPr="0061480A">
                    <w:rPr>
                      <w:rFonts w:ascii="Book Antiqua" w:hAnsi="Book Antiqua"/>
                      <w:b/>
                      <w:color w:val="auto"/>
                      <w:sz w:val="22"/>
                    </w:rPr>
                    <w:t>June 30, 2016</w:t>
                  </w:r>
                </w:p>
              </w:tc>
            </w:tr>
            <w:tr w:rsidR="0061480A" w:rsidRPr="0061480A" w:rsidTr="00412F41">
              <w:tc>
                <w:tcPr>
                  <w:tcW w:w="2585" w:type="dxa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  <w:t>Consolidated NAV per Share – Q3</w:t>
                  </w:r>
                </w:p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</w:pPr>
                </w:p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rPr>
                      <w:rFonts w:ascii="Book Antiqua" w:eastAsia="Times New Roman" w:hAnsi="Book Antiqua"/>
                      <w:color w:val="auto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  <w:t>(Including Revaluation Surplus)</w:t>
                  </w:r>
                </w:p>
              </w:tc>
              <w:tc>
                <w:tcPr>
                  <w:tcW w:w="270" w:type="dxa"/>
                </w:tcPr>
                <w:p w:rsidR="0061480A" w:rsidRPr="0061480A" w:rsidRDefault="00B14018" w:rsidP="009B10EA">
                  <w:pPr>
                    <w:framePr w:hSpace="180" w:wrap="around" w:hAnchor="margin" w:xAlign="center" w:y="775"/>
                    <w:spacing w:before="240" w:after="240" w:line="240" w:lineRule="auto"/>
                    <w:rPr>
                      <w:rFonts w:ascii="Book Antiqua" w:eastAsia="Times New Roman" w:hAnsi="Book Antiqua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ascii="Book Antiqua" w:eastAsia="Times New Roman" w:hAnsi="Book Antiqua"/>
                      <w:color w:val="auto"/>
                      <w:kern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152" w:type="dxa"/>
                  <w:gridSpan w:val="2"/>
                  <w:vAlign w:val="center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jc w:val="center"/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  <w:t>BDT.  71.14</w:t>
                  </w:r>
                </w:p>
              </w:tc>
              <w:tc>
                <w:tcPr>
                  <w:tcW w:w="2950" w:type="dxa"/>
                  <w:gridSpan w:val="2"/>
                  <w:vAlign w:val="center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jc w:val="center"/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  <w:t>BDT.  69.99</w:t>
                  </w:r>
                </w:p>
              </w:tc>
            </w:tr>
            <w:tr w:rsidR="0061480A" w:rsidRPr="0061480A" w:rsidTr="00412F41">
              <w:tc>
                <w:tcPr>
                  <w:tcW w:w="2585" w:type="dxa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  <w:t>Consolidated NAV per Share – Q3</w:t>
                  </w:r>
                </w:p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</w:pPr>
                </w:p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  <w:t>(Excluding Revaluation Surplus)</w:t>
                  </w:r>
                </w:p>
              </w:tc>
              <w:tc>
                <w:tcPr>
                  <w:tcW w:w="270" w:type="dxa"/>
                </w:tcPr>
                <w:p w:rsidR="0061480A" w:rsidRPr="0061480A" w:rsidRDefault="00B14018" w:rsidP="009B10EA">
                  <w:pPr>
                    <w:framePr w:hSpace="180" w:wrap="around" w:hAnchor="margin" w:xAlign="center" w:y="775"/>
                    <w:spacing w:before="240" w:after="240" w:line="240" w:lineRule="auto"/>
                    <w:rPr>
                      <w:rFonts w:ascii="Book Antiqua" w:eastAsia="Times New Roman" w:hAnsi="Book Antiqua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ascii="Book Antiqua" w:eastAsia="Times New Roman" w:hAnsi="Book Antiqua"/>
                      <w:color w:val="auto"/>
                      <w:kern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152" w:type="dxa"/>
                  <w:gridSpan w:val="2"/>
                  <w:vAlign w:val="center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jc w:val="center"/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  <w:t>BDT.  62.63</w:t>
                  </w:r>
                </w:p>
              </w:tc>
              <w:tc>
                <w:tcPr>
                  <w:tcW w:w="2950" w:type="dxa"/>
                  <w:gridSpan w:val="2"/>
                  <w:vAlign w:val="center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jc w:val="center"/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  <w:t>BDT.  61.34</w:t>
                  </w:r>
                </w:p>
              </w:tc>
            </w:tr>
            <w:tr w:rsidR="0061480A" w:rsidRPr="0061480A" w:rsidTr="00412F41">
              <w:tc>
                <w:tcPr>
                  <w:tcW w:w="2585" w:type="dxa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rPr>
                      <w:rFonts w:ascii="Book Antiqua" w:eastAsia="Times New Roman" w:hAnsi="Book Antiqua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rPr>
                      <w:rFonts w:ascii="Book Antiqua" w:eastAsia="Times New Roman" w:hAnsi="Book Antiqua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16" w:type="dxa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jc w:val="center"/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  <w:t>July 01, 2016 to March 31, 2017</w:t>
                  </w:r>
                </w:p>
              </w:tc>
              <w:tc>
                <w:tcPr>
                  <w:tcW w:w="1536" w:type="dxa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jc w:val="center"/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  <w:t>July 01, 2015 to March 31, 2016</w:t>
                  </w:r>
                </w:p>
              </w:tc>
              <w:tc>
                <w:tcPr>
                  <w:tcW w:w="1475" w:type="dxa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jc w:val="center"/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  <w:t>Jan 01, 2017 to March 31, 2017</w:t>
                  </w:r>
                </w:p>
              </w:tc>
              <w:tc>
                <w:tcPr>
                  <w:tcW w:w="1475" w:type="dxa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jc w:val="center"/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  <w:t>Jan 01, 2016 to March 31, 2016</w:t>
                  </w:r>
                </w:p>
              </w:tc>
            </w:tr>
            <w:tr w:rsidR="0061480A" w:rsidRPr="0061480A" w:rsidTr="00412F41">
              <w:tc>
                <w:tcPr>
                  <w:tcW w:w="2585" w:type="dxa"/>
                  <w:vAlign w:val="center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  <w:t xml:space="preserve">Consolidated Earnings Per Share (EPS)- Q3 </w:t>
                  </w:r>
                </w:p>
              </w:tc>
              <w:tc>
                <w:tcPr>
                  <w:tcW w:w="270" w:type="dxa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before="240" w:after="240" w:line="240" w:lineRule="auto"/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16" w:type="dxa"/>
                  <w:vAlign w:val="center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jc w:val="center"/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  BDT.  3.02</w:t>
                  </w:r>
                </w:p>
              </w:tc>
              <w:tc>
                <w:tcPr>
                  <w:tcW w:w="1536" w:type="dxa"/>
                  <w:vAlign w:val="center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jc w:val="center"/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  <w:t>BDT.  2.33</w:t>
                  </w:r>
                </w:p>
              </w:tc>
              <w:tc>
                <w:tcPr>
                  <w:tcW w:w="1475" w:type="dxa"/>
                  <w:vAlign w:val="center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jc w:val="center"/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  BDT.  0.56</w:t>
                  </w:r>
                </w:p>
              </w:tc>
              <w:tc>
                <w:tcPr>
                  <w:tcW w:w="1475" w:type="dxa"/>
                  <w:vAlign w:val="center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jc w:val="center"/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  <w:t>BDT.  0.33</w:t>
                  </w:r>
                </w:p>
              </w:tc>
            </w:tr>
            <w:tr w:rsidR="0061480A" w:rsidRPr="0061480A" w:rsidTr="00412F41">
              <w:trPr>
                <w:trHeight w:val="782"/>
              </w:trPr>
              <w:tc>
                <w:tcPr>
                  <w:tcW w:w="2585" w:type="dxa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  <w:t>Consolidated Net Operating Cash Flow Per Share (NOCFPS) – Q3</w:t>
                  </w:r>
                </w:p>
              </w:tc>
              <w:tc>
                <w:tcPr>
                  <w:tcW w:w="270" w:type="dxa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Times New Roman" w:hAnsi="Book Antiqua"/>
                      <w:b/>
                      <w:color w:val="auto"/>
                      <w:kern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16" w:type="dxa"/>
                  <w:vAlign w:val="center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jc w:val="center"/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  <w:t>BDT.  8.54</w:t>
                  </w:r>
                </w:p>
              </w:tc>
              <w:tc>
                <w:tcPr>
                  <w:tcW w:w="1536" w:type="dxa"/>
                  <w:vAlign w:val="center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jc w:val="center"/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  <w:t>BDT.  10.23</w:t>
                  </w:r>
                </w:p>
              </w:tc>
              <w:tc>
                <w:tcPr>
                  <w:tcW w:w="1475" w:type="dxa"/>
                  <w:vAlign w:val="center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jc w:val="center"/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1475" w:type="dxa"/>
                  <w:vAlign w:val="center"/>
                </w:tcPr>
                <w:p w:rsidR="0061480A" w:rsidRPr="0061480A" w:rsidRDefault="0061480A" w:rsidP="009B10EA">
                  <w:pPr>
                    <w:framePr w:hSpace="180" w:wrap="around" w:hAnchor="margin" w:xAlign="center" w:y="775"/>
                    <w:spacing w:after="0" w:line="240" w:lineRule="auto"/>
                    <w:jc w:val="center"/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61480A">
                    <w:rPr>
                      <w:rFonts w:ascii="Book Antiqua" w:eastAsia="Calibri" w:hAnsi="Book Antiqua"/>
                      <w:b/>
                      <w:color w:val="000000"/>
                      <w:kern w:val="0"/>
                      <w:sz w:val="20"/>
                      <w:szCs w:val="20"/>
                    </w:rPr>
                    <w:t>-----</w:t>
                  </w:r>
                </w:p>
              </w:tc>
            </w:tr>
          </w:tbl>
          <w:p w:rsidR="00CA7CBE" w:rsidRPr="000E18E5" w:rsidRDefault="00CA7CBE" w:rsidP="00EB1ADA">
            <w:pPr>
              <w:tabs>
                <w:tab w:val="left" w:pos="1205"/>
              </w:tabs>
              <w:jc w:val="both"/>
              <w:rPr>
                <w:rFonts w:ascii="Book Antiqua" w:hAnsi="Book Antiqua"/>
                <w:sz w:val="10"/>
              </w:rPr>
            </w:pPr>
          </w:p>
          <w:p w:rsidR="00CA7CBE" w:rsidRPr="005717B8" w:rsidRDefault="00CA7CBE" w:rsidP="00AB7697">
            <w:pPr>
              <w:tabs>
                <w:tab w:val="left" w:pos="1205"/>
              </w:tabs>
              <w:jc w:val="both"/>
              <w:rPr>
                <w:rFonts w:ascii="Book Antiqua" w:hAnsi="Book Antiqua"/>
                <w:sz w:val="22"/>
              </w:rPr>
            </w:pPr>
            <w:r w:rsidRPr="005717B8">
              <w:rPr>
                <w:rFonts w:ascii="Book Antiqua" w:hAnsi="Book Antiqua"/>
                <w:sz w:val="22"/>
              </w:rPr>
              <w:t xml:space="preserve">The Detailed Financial Statements are also available in the Company’s website: </w:t>
            </w:r>
            <w:hyperlink r:id="rId4" w:history="1">
              <w:r w:rsidRPr="005717B8">
                <w:rPr>
                  <w:rStyle w:val="Hyperlink"/>
                  <w:rFonts w:ascii="Book Antiqua" w:hAnsi="Book Antiqua"/>
                  <w:sz w:val="22"/>
                </w:rPr>
                <w:t>www.orion</w:t>
              </w:r>
              <w:r w:rsidR="00636B27">
                <w:rPr>
                  <w:rStyle w:val="Hyperlink"/>
                  <w:rFonts w:ascii="Book Antiqua" w:hAnsi="Book Antiqua"/>
                  <w:sz w:val="22"/>
                </w:rPr>
                <w:t>pharmabd</w:t>
              </w:r>
              <w:r w:rsidRPr="005717B8">
                <w:rPr>
                  <w:rStyle w:val="Hyperlink"/>
                  <w:rFonts w:ascii="Book Antiqua" w:hAnsi="Book Antiqua"/>
                  <w:sz w:val="22"/>
                </w:rPr>
                <w:t>.com</w:t>
              </w:r>
            </w:hyperlink>
            <w:r w:rsidRPr="005717B8">
              <w:rPr>
                <w:rFonts w:ascii="Book Antiqua" w:hAnsi="Book Antiqua"/>
                <w:sz w:val="22"/>
              </w:rPr>
              <w:t>.</w:t>
            </w:r>
          </w:p>
          <w:p w:rsidR="00CA7CBE" w:rsidRPr="000E18E5" w:rsidRDefault="00CA7CBE" w:rsidP="00AB7697">
            <w:pPr>
              <w:tabs>
                <w:tab w:val="left" w:pos="1205"/>
              </w:tabs>
              <w:rPr>
                <w:rFonts w:ascii="Book Antiqua" w:hAnsi="Book Antiqua"/>
              </w:rPr>
            </w:pPr>
          </w:p>
          <w:p w:rsidR="00CA7CBE" w:rsidRPr="005717B8" w:rsidRDefault="00CA7CBE" w:rsidP="00AB7697">
            <w:pPr>
              <w:tabs>
                <w:tab w:val="left" w:pos="1205"/>
              </w:tabs>
              <w:rPr>
                <w:rFonts w:ascii="Book Antiqua" w:hAnsi="Book Antiqua"/>
                <w:sz w:val="20"/>
              </w:rPr>
            </w:pPr>
            <w:r w:rsidRPr="005717B8">
              <w:rPr>
                <w:rFonts w:ascii="Book Antiqua" w:hAnsi="Book Antiqua"/>
                <w:sz w:val="20"/>
              </w:rPr>
              <w:t xml:space="preserve">            </w:t>
            </w:r>
            <w:proofErr w:type="spellStart"/>
            <w:r w:rsidRPr="005717B8">
              <w:rPr>
                <w:rFonts w:ascii="Book Antiqua" w:hAnsi="Book Antiqua"/>
                <w:sz w:val="20"/>
              </w:rPr>
              <w:t>Sd</w:t>
            </w:r>
            <w:proofErr w:type="spellEnd"/>
            <w:r w:rsidRPr="005717B8">
              <w:rPr>
                <w:rFonts w:ascii="Book Antiqua" w:hAnsi="Book Antiqua"/>
                <w:sz w:val="20"/>
              </w:rPr>
              <w:t>/-</w:t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  <w:t xml:space="preserve">      </w:t>
            </w:r>
            <w:r w:rsidR="008D21F6">
              <w:rPr>
                <w:rFonts w:ascii="Book Antiqua" w:hAnsi="Book Antiqua"/>
                <w:sz w:val="20"/>
              </w:rPr>
              <w:t xml:space="preserve">     </w:t>
            </w:r>
            <w:r w:rsidRPr="005717B8">
              <w:rPr>
                <w:rFonts w:ascii="Book Antiqua" w:hAnsi="Book Antiqua"/>
                <w:sz w:val="20"/>
              </w:rPr>
              <w:t xml:space="preserve">  </w:t>
            </w:r>
            <w:proofErr w:type="spellStart"/>
            <w:r w:rsidRPr="005717B8">
              <w:rPr>
                <w:rFonts w:ascii="Book Antiqua" w:hAnsi="Book Antiqua"/>
                <w:sz w:val="20"/>
              </w:rPr>
              <w:t>Sd</w:t>
            </w:r>
            <w:proofErr w:type="spellEnd"/>
            <w:r w:rsidRPr="005717B8">
              <w:rPr>
                <w:rFonts w:ascii="Book Antiqua" w:hAnsi="Book Antiqua"/>
                <w:sz w:val="20"/>
              </w:rPr>
              <w:t>/-</w:t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  <w:t xml:space="preserve">   </w:t>
            </w:r>
            <w:r w:rsidR="008D21F6">
              <w:rPr>
                <w:rFonts w:ascii="Book Antiqua" w:hAnsi="Book Antiqua"/>
                <w:sz w:val="20"/>
              </w:rPr>
              <w:t xml:space="preserve">     </w:t>
            </w:r>
            <w:r w:rsidRPr="005717B8">
              <w:rPr>
                <w:rFonts w:ascii="Book Antiqua" w:hAnsi="Book Antiqua"/>
                <w:sz w:val="20"/>
              </w:rPr>
              <w:t xml:space="preserve"> </w:t>
            </w:r>
            <w:r w:rsidR="008D21F6">
              <w:rPr>
                <w:rFonts w:ascii="Book Antiqua" w:hAnsi="Book Antiqua"/>
                <w:sz w:val="20"/>
              </w:rPr>
              <w:t xml:space="preserve">   </w:t>
            </w:r>
            <w:r w:rsidR="009B10EA">
              <w:rPr>
                <w:rFonts w:ascii="Book Antiqua" w:hAnsi="Book Antiqua"/>
                <w:sz w:val="20"/>
              </w:rPr>
              <w:t xml:space="preserve">                       </w:t>
            </w:r>
            <w:r w:rsidR="008D21F6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5717B8">
              <w:rPr>
                <w:rFonts w:ascii="Book Antiqua" w:hAnsi="Book Antiqua"/>
                <w:sz w:val="20"/>
              </w:rPr>
              <w:t>Sd</w:t>
            </w:r>
            <w:proofErr w:type="spellEnd"/>
            <w:r w:rsidRPr="005717B8">
              <w:rPr>
                <w:rFonts w:ascii="Book Antiqua" w:hAnsi="Book Antiqua"/>
                <w:sz w:val="20"/>
              </w:rPr>
              <w:t>/-</w:t>
            </w:r>
          </w:p>
          <w:p w:rsidR="00CA7CBE" w:rsidRPr="005717B8" w:rsidRDefault="00CA7CBE" w:rsidP="00AB7697">
            <w:pPr>
              <w:tabs>
                <w:tab w:val="left" w:pos="1205"/>
              </w:tabs>
              <w:rPr>
                <w:rFonts w:ascii="Book Antiqua" w:hAnsi="Book Antiqua"/>
                <w:b/>
                <w:sz w:val="20"/>
              </w:rPr>
            </w:pPr>
            <w:r w:rsidRPr="005717B8">
              <w:rPr>
                <w:rFonts w:ascii="Book Antiqua" w:hAnsi="Book Antiqua"/>
                <w:b/>
                <w:sz w:val="20"/>
              </w:rPr>
              <w:t>Company Secretary</w:t>
            </w:r>
            <w:r w:rsidRPr="005717B8">
              <w:rPr>
                <w:rFonts w:ascii="Book Antiqua" w:hAnsi="Book Antiqua"/>
                <w:b/>
                <w:sz w:val="20"/>
              </w:rPr>
              <w:tab/>
            </w:r>
            <w:r w:rsidRPr="005717B8">
              <w:rPr>
                <w:rFonts w:ascii="Book Antiqua" w:hAnsi="Book Antiqua"/>
                <w:b/>
                <w:sz w:val="20"/>
              </w:rPr>
              <w:tab/>
            </w:r>
            <w:r w:rsidR="008D21F6">
              <w:rPr>
                <w:rFonts w:ascii="Book Antiqua" w:hAnsi="Book Antiqua"/>
                <w:b/>
                <w:sz w:val="20"/>
              </w:rPr>
              <w:t xml:space="preserve">     </w:t>
            </w:r>
            <w:r w:rsidRPr="005717B8">
              <w:rPr>
                <w:rFonts w:ascii="Book Antiqua" w:hAnsi="Book Antiqua"/>
                <w:b/>
                <w:sz w:val="20"/>
              </w:rPr>
              <w:t>Head of Finance</w:t>
            </w:r>
            <w:r w:rsidRPr="005717B8">
              <w:rPr>
                <w:rFonts w:ascii="Book Antiqua" w:hAnsi="Book Antiqua"/>
                <w:b/>
                <w:sz w:val="20"/>
              </w:rPr>
              <w:tab/>
            </w:r>
            <w:r w:rsidRPr="005717B8">
              <w:rPr>
                <w:rFonts w:ascii="Book Antiqua" w:hAnsi="Book Antiqua"/>
                <w:b/>
                <w:sz w:val="20"/>
              </w:rPr>
              <w:tab/>
            </w:r>
            <w:r w:rsidR="008D21F6">
              <w:rPr>
                <w:rFonts w:ascii="Book Antiqua" w:hAnsi="Book Antiqua"/>
                <w:b/>
                <w:sz w:val="20"/>
              </w:rPr>
              <w:t xml:space="preserve">         </w:t>
            </w:r>
            <w:r w:rsidR="009B10EA">
              <w:rPr>
                <w:rFonts w:ascii="Book Antiqua" w:hAnsi="Book Antiqua"/>
                <w:b/>
                <w:sz w:val="20"/>
              </w:rPr>
              <w:t xml:space="preserve">                       </w:t>
            </w:r>
            <w:r w:rsidRPr="005717B8">
              <w:rPr>
                <w:rFonts w:ascii="Book Antiqua" w:hAnsi="Book Antiqua"/>
                <w:b/>
                <w:sz w:val="20"/>
              </w:rPr>
              <w:t>Director</w:t>
            </w:r>
          </w:p>
          <w:p w:rsidR="00CA7CBE" w:rsidRPr="005717B8" w:rsidRDefault="00CA7CBE" w:rsidP="00AB7697">
            <w:pPr>
              <w:tabs>
                <w:tab w:val="left" w:pos="1205"/>
              </w:tabs>
              <w:rPr>
                <w:rFonts w:ascii="Book Antiqua" w:hAnsi="Book Antiqua"/>
                <w:sz w:val="20"/>
              </w:rPr>
            </w:pPr>
          </w:p>
          <w:p w:rsidR="00CA7CBE" w:rsidRPr="005717B8" w:rsidRDefault="00CA7CBE" w:rsidP="00AB7697">
            <w:pPr>
              <w:tabs>
                <w:tab w:val="left" w:pos="1205"/>
              </w:tabs>
              <w:rPr>
                <w:rFonts w:ascii="Book Antiqua" w:hAnsi="Book Antiqua"/>
                <w:b/>
                <w:sz w:val="20"/>
              </w:rPr>
            </w:pPr>
            <w:r w:rsidRPr="005717B8">
              <w:rPr>
                <w:rFonts w:ascii="Book Antiqua" w:hAnsi="Book Antiqua"/>
                <w:sz w:val="20"/>
              </w:rPr>
              <w:t>Dated: Dhaka</w:t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  <w:t xml:space="preserve">        </w:t>
            </w:r>
            <w:r w:rsidR="008D21F6">
              <w:rPr>
                <w:rFonts w:ascii="Book Antiqua" w:hAnsi="Book Antiqua"/>
                <w:sz w:val="20"/>
              </w:rPr>
              <w:t xml:space="preserve">     </w:t>
            </w:r>
            <w:proofErr w:type="spellStart"/>
            <w:r w:rsidRPr="005717B8">
              <w:rPr>
                <w:rFonts w:ascii="Book Antiqua" w:hAnsi="Book Antiqua"/>
                <w:sz w:val="20"/>
              </w:rPr>
              <w:t>Sd</w:t>
            </w:r>
            <w:proofErr w:type="spellEnd"/>
            <w:r w:rsidRPr="005717B8">
              <w:rPr>
                <w:rFonts w:ascii="Book Antiqua" w:hAnsi="Book Antiqua"/>
                <w:sz w:val="20"/>
              </w:rPr>
              <w:t>/-</w:t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  <w:t xml:space="preserve">    </w:t>
            </w:r>
            <w:r w:rsidR="008D21F6">
              <w:rPr>
                <w:rFonts w:ascii="Book Antiqua" w:hAnsi="Book Antiqua"/>
                <w:sz w:val="20"/>
              </w:rPr>
              <w:t xml:space="preserve">        </w:t>
            </w:r>
            <w:r w:rsidR="009B10EA">
              <w:rPr>
                <w:rFonts w:ascii="Book Antiqua" w:hAnsi="Book Antiqua"/>
                <w:sz w:val="20"/>
              </w:rPr>
              <w:t xml:space="preserve">                         </w:t>
            </w:r>
            <w:proofErr w:type="spellStart"/>
            <w:r w:rsidRPr="005717B8">
              <w:rPr>
                <w:rFonts w:ascii="Book Antiqua" w:hAnsi="Book Antiqua"/>
                <w:sz w:val="20"/>
              </w:rPr>
              <w:t>Sd</w:t>
            </w:r>
            <w:proofErr w:type="spellEnd"/>
            <w:r w:rsidRPr="005717B8">
              <w:rPr>
                <w:rFonts w:ascii="Book Antiqua" w:hAnsi="Book Antiqua"/>
                <w:sz w:val="20"/>
              </w:rPr>
              <w:t>/-</w:t>
            </w:r>
          </w:p>
          <w:p w:rsidR="00CA7CBE" w:rsidRPr="005717B8" w:rsidRDefault="0061480A" w:rsidP="00AB7697">
            <w:pPr>
              <w:tabs>
                <w:tab w:val="left" w:pos="1205"/>
              </w:tabs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sz w:val="20"/>
              </w:rPr>
              <w:t>April 30</w:t>
            </w:r>
            <w:r w:rsidR="000E18E5" w:rsidRPr="005717B8">
              <w:rPr>
                <w:rFonts w:ascii="Book Antiqua" w:hAnsi="Book Antiqua"/>
                <w:sz w:val="20"/>
              </w:rPr>
              <w:t>,</w:t>
            </w:r>
            <w:r w:rsidR="00CA7CBE" w:rsidRPr="005717B8">
              <w:rPr>
                <w:rFonts w:ascii="Book Antiqua" w:hAnsi="Book Antiqua"/>
                <w:sz w:val="20"/>
              </w:rPr>
              <w:t xml:space="preserve"> 201</w:t>
            </w:r>
            <w:r w:rsidR="00EB7E18">
              <w:rPr>
                <w:rFonts w:ascii="Book Antiqua" w:hAnsi="Book Antiqua"/>
                <w:sz w:val="20"/>
              </w:rPr>
              <w:t>7</w:t>
            </w:r>
            <w:r w:rsidR="00CA7CBE" w:rsidRPr="005717B8">
              <w:rPr>
                <w:rFonts w:ascii="Book Antiqua" w:hAnsi="Book Antiqua"/>
                <w:sz w:val="20"/>
              </w:rPr>
              <w:tab/>
            </w:r>
            <w:r w:rsidR="00CA7CBE" w:rsidRPr="005717B8">
              <w:rPr>
                <w:rFonts w:ascii="Book Antiqua" w:hAnsi="Book Antiqua"/>
                <w:sz w:val="20"/>
              </w:rPr>
              <w:tab/>
            </w:r>
            <w:r w:rsidR="008D21F6">
              <w:rPr>
                <w:rFonts w:ascii="Book Antiqua" w:hAnsi="Book Antiqua"/>
                <w:sz w:val="20"/>
              </w:rPr>
              <w:t xml:space="preserve">    </w:t>
            </w:r>
            <w:r>
              <w:rPr>
                <w:rFonts w:ascii="Book Antiqua" w:hAnsi="Book Antiqua"/>
                <w:sz w:val="20"/>
              </w:rPr>
              <w:t xml:space="preserve">         </w:t>
            </w:r>
            <w:r w:rsidR="008D21F6">
              <w:rPr>
                <w:rFonts w:ascii="Book Antiqua" w:hAnsi="Book Antiqua"/>
                <w:sz w:val="20"/>
              </w:rPr>
              <w:t xml:space="preserve"> </w:t>
            </w:r>
            <w:r w:rsidR="00CA7CBE" w:rsidRPr="005717B8">
              <w:rPr>
                <w:rFonts w:ascii="Book Antiqua" w:hAnsi="Book Antiqua"/>
                <w:b/>
                <w:sz w:val="20"/>
              </w:rPr>
              <w:t>Managing Director</w:t>
            </w:r>
            <w:r w:rsidR="00CA7CBE" w:rsidRPr="005717B8">
              <w:rPr>
                <w:rFonts w:ascii="Book Antiqua" w:hAnsi="Book Antiqua"/>
                <w:b/>
                <w:sz w:val="20"/>
              </w:rPr>
              <w:tab/>
              <w:t xml:space="preserve">          </w:t>
            </w:r>
            <w:r w:rsidR="008D21F6">
              <w:rPr>
                <w:rFonts w:ascii="Book Antiqua" w:hAnsi="Book Antiqua"/>
                <w:b/>
                <w:sz w:val="20"/>
              </w:rPr>
              <w:t xml:space="preserve">             </w:t>
            </w:r>
            <w:r w:rsidR="009B10EA">
              <w:rPr>
                <w:rFonts w:ascii="Book Antiqua" w:hAnsi="Book Antiqua"/>
                <w:b/>
                <w:sz w:val="20"/>
              </w:rPr>
              <w:t xml:space="preserve">                        </w:t>
            </w:r>
            <w:r w:rsidR="00CA7CBE" w:rsidRPr="005717B8">
              <w:rPr>
                <w:rFonts w:ascii="Book Antiqua" w:hAnsi="Book Antiqua"/>
                <w:b/>
                <w:sz w:val="20"/>
              </w:rPr>
              <w:t>Chairman</w:t>
            </w:r>
          </w:p>
          <w:p w:rsidR="00CA7CBE" w:rsidRPr="000E18E5" w:rsidRDefault="00CA7CBE" w:rsidP="00AB7697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245CC5" w:rsidRDefault="006423E3" w:rsidP="00A12710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970671</wp:posOffset>
            </wp:positionH>
            <wp:positionV relativeFrom="paragraph">
              <wp:posOffset>137697</wp:posOffset>
            </wp:positionV>
            <wp:extent cx="1397977" cy="1028700"/>
            <wp:effectExtent l="0" t="0" r="0" b="0"/>
            <wp:wrapNone/>
            <wp:docPr id="1" name="Picture 0" descr="OP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L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977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5CC5" w:rsidRPr="000E18E5" w:rsidRDefault="00245CC5" w:rsidP="00A12710">
      <w:pPr>
        <w:rPr>
          <w:rFonts w:ascii="Book Antiqua" w:hAnsi="Book Antiqua"/>
        </w:rPr>
      </w:pPr>
    </w:p>
    <w:p w:rsidR="00AB7697" w:rsidRPr="000E18E5" w:rsidRDefault="00AB7697" w:rsidP="00A12710">
      <w:pPr>
        <w:rPr>
          <w:rFonts w:ascii="Book Antiqua" w:hAnsi="Book Antiqua"/>
        </w:rPr>
      </w:pPr>
    </w:p>
    <w:p w:rsidR="00E129A9" w:rsidRPr="000E18E5" w:rsidRDefault="00E129A9" w:rsidP="00E153C0">
      <w:pPr>
        <w:rPr>
          <w:rFonts w:ascii="Book Antiqua" w:hAnsi="Book Antiqua"/>
        </w:rPr>
      </w:pPr>
    </w:p>
    <w:sectPr w:rsidR="00E129A9" w:rsidRPr="000E18E5" w:rsidSect="00636B27">
      <w:pgSz w:w="11909" w:h="16834" w:code="9"/>
      <w:pgMar w:top="2880" w:right="576" w:bottom="1584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29A9"/>
    <w:rsid w:val="00007D63"/>
    <w:rsid w:val="00025214"/>
    <w:rsid w:val="00033902"/>
    <w:rsid w:val="0004074C"/>
    <w:rsid w:val="000E18E5"/>
    <w:rsid w:val="00215A2C"/>
    <w:rsid w:val="00245CC5"/>
    <w:rsid w:val="00316BCE"/>
    <w:rsid w:val="00321B89"/>
    <w:rsid w:val="00351A1F"/>
    <w:rsid w:val="00393669"/>
    <w:rsid w:val="00487313"/>
    <w:rsid w:val="005717B8"/>
    <w:rsid w:val="00573053"/>
    <w:rsid w:val="00573FA8"/>
    <w:rsid w:val="005C5255"/>
    <w:rsid w:val="005C706D"/>
    <w:rsid w:val="005D2502"/>
    <w:rsid w:val="0061480A"/>
    <w:rsid w:val="00636B27"/>
    <w:rsid w:val="006423E3"/>
    <w:rsid w:val="00673600"/>
    <w:rsid w:val="006E6E57"/>
    <w:rsid w:val="007E6A02"/>
    <w:rsid w:val="00803B41"/>
    <w:rsid w:val="00824A51"/>
    <w:rsid w:val="00835A77"/>
    <w:rsid w:val="00865F88"/>
    <w:rsid w:val="008D21F6"/>
    <w:rsid w:val="00921E72"/>
    <w:rsid w:val="009B10EA"/>
    <w:rsid w:val="009F4D25"/>
    <w:rsid w:val="00A12710"/>
    <w:rsid w:val="00A9007D"/>
    <w:rsid w:val="00AB7697"/>
    <w:rsid w:val="00AC2345"/>
    <w:rsid w:val="00B14018"/>
    <w:rsid w:val="00B14D8D"/>
    <w:rsid w:val="00BD1454"/>
    <w:rsid w:val="00BE0D3E"/>
    <w:rsid w:val="00C977D4"/>
    <w:rsid w:val="00CA7CBE"/>
    <w:rsid w:val="00D85A2D"/>
    <w:rsid w:val="00DD13EB"/>
    <w:rsid w:val="00E129A9"/>
    <w:rsid w:val="00E153C0"/>
    <w:rsid w:val="00E76D32"/>
    <w:rsid w:val="00EB1ADA"/>
    <w:rsid w:val="00EB2F3E"/>
    <w:rsid w:val="00EB7E18"/>
    <w:rsid w:val="00F2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kern w:val="32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9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7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orioninfus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Share-Ramjan</dc:creator>
  <cp:lastModifiedBy>user</cp:lastModifiedBy>
  <cp:revision>23</cp:revision>
  <cp:lastPrinted>2017-01-31T10:36:00Z</cp:lastPrinted>
  <dcterms:created xsi:type="dcterms:W3CDTF">2016-04-28T04:19:00Z</dcterms:created>
  <dcterms:modified xsi:type="dcterms:W3CDTF">2017-04-29T07:40:00Z</dcterms:modified>
</cp:coreProperties>
</file>